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7E73D" w14:textId="77777777" w:rsidR="006024A7" w:rsidRDefault="006024A7" w:rsidP="006024A7">
      <w:pPr>
        <w:jc w:val="both"/>
      </w:pPr>
    </w:p>
    <w:p w14:paraId="672F01A6" w14:textId="77777777" w:rsidR="006024A7" w:rsidRDefault="006024A7" w:rsidP="006024A7">
      <w:pPr>
        <w:jc w:val="center"/>
      </w:pPr>
    </w:p>
    <w:p w14:paraId="115F2C20" w14:textId="005BBAB1" w:rsidR="006024A7" w:rsidRDefault="006024A7" w:rsidP="006024A7">
      <w:pPr>
        <w:shd w:val="clear" w:color="auto" w:fill="002060"/>
        <w:jc w:val="center"/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Communiqué de presse </w:t>
      </w:r>
    </w:p>
    <w:p w14:paraId="5A15D571" w14:textId="013565D5" w:rsidR="00A74912" w:rsidRDefault="000879B0" w:rsidP="006024A7">
      <w:pPr>
        <w:shd w:val="clear" w:color="auto" w:fill="002060"/>
        <w:jc w:val="center"/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>Avec l’extension de l’avenant n°2, u</w:t>
      </w:r>
      <w:r w:rsidR="00BB2961">
        <w:rPr>
          <w:b/>
          <w:bCs/>
          <w:color w:val="FFFFFF" w:themeColor="background1"/>
          <w:sz w:val="32"/>
          <w:szCs w:val="32"/>
        </w:rPr>
        <w:t xml:space="preserve">ne étape importante </w:t>
      </w:r>
      <w:r>
        <w:rPr>
          <w:b/>
          <w:bCs/>
          <w:color w:val="FFFFFF" w:themeColor="background1"/>
          <w:sz w:val="32"/>
          <w:szCs w:val="32"/>
        </w:rPr>
        <w:t xml:space="preserve">dans l’édifice du portage salarial </w:t>
      </w:r>
      <w:r w:rsidR="00BB2961">
        <w:rPr>
          <w:b/>
          <w:bCs/>
          <w:color w:val="FFFFFF" w:themeColor="background1"/>
          <w:sz w:val="32"/>
          <w:szCs w:val="32"/>
        </w:rPr>
        <w:t xml:space="preserve">a été franchie </w:t>
      </w:r>
    </w:p>
    <w:p w14:paraId="62145018" w14:textId="5959B430" w:rsidR="00312B49" w:rsidRDefault="00312B49" w:rsidP="00312B49"/>
    <w:p w14:paraId="14DEBB3E" w14:textId="77777777" w:rsidR="00FC732D" w:rsidRDefault="00FC732D" w:rsidP="00680604">
      <w:pPr>
        <w:jc w:val="both"/>
        <w:rPr>
          <w:sz w:val="22"/>
          <w:szCs w:val="22"/>
        </w:rPr>
      </w:pPr>
    </w:p>
    <w:p w14:paraId="7EBF54EE" w14:textId="66F72BB2" w:rsidR="00A74912" w:rsidRPr="00A74912" w:rsidRDefault="000879B0" w:rsidP="00A74912">
      <w:pPr>
        <w:jc w:val="both"/>
        <w:rPr>
          <w:sz w:val="22"/>
          <w:szCs w:val="22"/>
        </w:rPr>
      </w:pPr>
      <w:r>
        <w:rPr>
          <w:sz w:val="22"/>
          <w:szCs w:val="22"/>
        </w:rPr>
        <w:t>Une étape importante dans l</w:t>
      </w:r>
      <w:r w:rsidR="00A74912">
        <w:rPr>
          <w:sz w:val="22"/>
          <w:szCs w:val="22"/>
        </w:rPr>
        <w:t xml:space="preserve">’édifice du portage salarial </w:t>
      </w:r>
      <w:r>
        <w:rPr>
          <w:sz w:val="22"/>
          <w:szCs w:val="22"/>
        </w:rPr>
        <w:t xml:space="preserve">a été franchie </w:t>
      </w:r>
      <w:r w:rsidR="00A74912">
        <w:rPr>
          <w:sz w:val="22"/>
          <w:szCs w:val="22"/>
        </w:rPr>
        <w:t>avec l’extension de</w:t>
      </w:r>
      <w:r w:rsidR="00A74912" w:rsidRPr="00A74912">
        <w:rPr>
          <w:sz w:val="22"/>
          <w:szCs w:val="22"/>
        </w:rPr>
        <w:t xml:space="preserve"> l’avenant n°2 du 23 avril 2018 relatif à la détermination des prélèvements sociaux, fiscaux et autres charges financées par le salarié porté </w:t>
      </w:r>
      <w:r w:rsidR="00B655CD">
        <w:rPr>
          <w:sz w:val="22"/>
          <w:szCs w:val="22"/>
        </w:rPr>
        <w:t xml:space="preserve">parue </w:t>
      </w:r>
      <w:r w:rsidR="00A74912" w:rsidRPr="00A74912">
        <w:rPr>
          <w:sz w:val="22"/>
          <w:szCs w:val="22"/>
        </w:rPr>
        <w:t>au </w:t>
      </w:r>
      <w:hyperlink r:id="rId7" w:history="1">
        <w:r w:rsidR="00A74912" w:rsidRPr="00A74912">
          <w:rPr>
            <w:rStyle w:val="Lienhypertexte"/>
            <w:sz w:val="22"/>
            <w:szCs w:val="22"/>
          </w:rPr>
          <w:t>journal officiel N° 147 du 26 juin 2021</w:t>
        </w:r>
      </w:hyperlink>
      <w:r w:rsidR="00A74912" w:rsidRPr="00A74912">
        <w:rPr>
          <w:sz w:val="22"/>
          <w:szCs w:val="22"/>
        </w:rPr>
        <w:t>.</w:t>
      </w:r>
    </w:p>
    <w:p w14:paraId="762343ED" w14:textId="77777777" w:rsidR="006D3138" w:rsidRDefault="006D3138" w:rsidP="00A74912">
      <w:pPr>
        <w:jc w:val="both"/>
        <w:rPr>
          <w:sz w:val="22"/>
          <w:szCs w:val="22"/>
        </w:rPr>
      </w:pPr>
    </w:p>
    <w:p w14:paraId="41D0441C" w14:textId="564A0E5C" w:rsidR="006D3138" w:rsidRDefault="006D3138" w:rsidP="00A74912">
      <w:pPr>
        <w:jc w:val="both"/>
        <w:rPr>
          <w:sz w:val="22"/>
          <w:szCs w:val="22"/>
        </w:rPr>
      </w:pPr>
      <w:r>
        <w:rPr>
          <w:sz w:val="22"/>
          <w:szCs w:val="22"/>
        </w:rPr>
        <w:t>L’extension de cet</w:t>
      </w:r>
      <w:r w:rsidRPr="006D3138">
        <w:rPr>
          <w:sz w:val="22"/>
          <w:szCs w:val="22"/>
        </w:rPr>
        <w:t xml:space="preserve"> avenant </w:t>
      </w:r>
      <w:r w:rsidR="00D32DA6">
        <w:rPr>
          <w:sz w:val="22"/>
          <w:szCs w:val="22"/>
        </w:rPr>
        <w:t xml:space="preserve">rend obligatoire l’application de ce texte </w:t>
      </w:r>
      <w:r>
        <w:rPr>
          <w:sz w:val="22"/>
          <w:szCs w:val="22"/>
        </w:rPr>
        <w:t xml:space="preserve">aux entreprises de portage salarial </w:t>
      </w:r>
      <w:r w:rsidR="00D32DA6">
        <w:rPr>
          <w:sz w:val="22"/>
          <w:szCs w:val="22"/>
        </w:rPr>
        <w:t xml:space="preserve">et </w:t>
      </w:r>
      <w:r w:rsidRPr="006D3138">
        <w:rPr>
          <w:sz w:val="22"/>
          <w:szCs w:val="22"/>
        </w:rPr>
        <w:t xml:space="preserve">vient préciser </w:t>
      </w:r>
      <w:r>
        <w:rPr>
          <w:sz w:val="22"/>
          <w:szCs w:val="22"/>
        </w:rPr>
        <w:t xml:space="preserve">et clarifier </w:t>
      </w:r>
      <w:r w:rsidRPr="006D3138">
        <w:rPr>
          <w:sz w:val="22"/>
          <w:szCs w:val="22"/>
        </w:rPr>
        <w:t xml:space="preserve">le droit existant </w:t>
      </w:r>
      <w:r w:rsidR="00D32DA6">
        <w:rPr>
          <w:sz w:val="22"/>
          <w:szCs w:val="22"/>
        </w:rPr>
        <w:t xml:space="preserve">en matière de </w:t>
      </w:r>
      <w:r w:rsidRPr="006D3138">
        <w:rPr>
          <w:bCs/>
          <w:sz w:val="22"/>
          <w:szCs w:val="22"/>
        </w:rPr>
        <w:t xml:space="preserve">prélèvements sociaux, fiscaux et autres charges </w:t>
      </w:r>
      <w:r w:rsidR="009D1EC3">
        <w:rPr>
          <w:sz w:val="22"/>
          <w:szCs w:val="22"/>
        </w:rPr>
        <w:t xml:space="preserve">financés </w:t>
      </w:r>
      <w:r w:rsidRPr="006D3138">
        <w:rPr>
          <w:sz w:val="22"/>
          <w:szCs w:val="22"/>
        </w:rPr>
        <w:t>par le salarié porté</w:t>
      </w:r>
      <w:r>
        <w:rPr>
          <w:sz w:val="22"/>
          <w:szCs w:val="22"/>
        </w:rPr>
        <w:t xml:space="preserve">. </w:t>
      </w:r>
    </w:p>
    <w:p w14:paraId="21C03046" w14:textId="77777777" w:rsidR="006D3138" w:rsidRDefault="006D3138" w:rsidP="00A74912">
      <w:pPr>
        <w:jc w:val="both"/>
        <w:rPr>
          <w:sz w:val="22"/>
          <w:szCs w:val="22"/>
        </w:rPr>
      </w:pPr>
    </w:p>
    <w:p w14:paraId="2802174A" w14:textId="275898F8" w:rsidR="00680604" w:rsidRDefault="006D3138" w:rsidP="006D3138">
      <w:pPr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A74912" w:rsidRPr="00A74912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PEPS </w:t>
      </w:r>
      <w:r w:rsidR="00A74912" w:rsidRPr="00A74912">
        <w:rPr>
          <w:sz w:val="22"/>
          <w:szCs w:val="22"/>
        </w:rPr>
        <w:t>se félicite d’un accord signé</w:t>
      </w:r>
      <w:r>
        <w:rPr>
          <w:sz w:val="22"/>
          <w:szCs w:val="22"/>
        </w:rPr>
        <w:t xml:space="preserve"> par 4 organisations syndicales sur 5</w:t>
      </w:r>
      <w:r w:rsidR="00B655CD">
        <w:rPr>
          <w:sz w:val="22"/>
          <w:szCs w:val="22"/>
        </w:rPr>
        <w:t xml:space="preserve">. Ces 4 organisations syndicales </w:t>
      </w:r>
      <w:r>
        <w:rPr>
          <w:sz w:val="22"/>
          <w:szCs w:val="22"/>
        </w:rPr>
        <w:t xml:space="preserve">représentent désormais </w:t>
      </w:r>
      <w:r w:rsidR="00A74912" w:rsidRPr="00A74912">
        <w:rPr>
          <w:sz w:val="22"/>
          <w:szCs w:val="22"/>
        </w:rPr>
        <w:t xml:space="preserve">plus </w:t>
      </w:r>
      <w:r>
        <w:rPr>
          <w:sz w:val="22"/>
          <w:szCs w:val="22"/>
        </w:rPr>
        <w:t xml:space="preserve">de </w:t>
      </w:r>
      <w:r w:rsidR="00A74912" w:rsidRPr="00A74912">
        <w:rPr>
          <w:sz w:val="22"/>
          <w:szCs w:val="22"/>
        </w:rPr>
        <w:t>90</w:t>
      </w:r>
      <w:r>
        <w:rPr>
          <w:sz w:val="22"/>
          <w:szCs w:val="22"/>
        </w:rPr>
        <w:t xml:space="preserve">% </w:t>
      </w:r>
      <w:r w:rsidR="00BB2961">
        <w:rPr>
          <w:sz w:val="22"/>
          <w:szCs w:val="22"/>
        </w:rPr>
        <w:t xml:space="preserve">en termes d’audience syndicale </w:t>
      </w:r>
      <w:r>
        <w:rPr>
          <w:sz w:val="22"/>
          <w:szCs w:val="22"/>
        </w:rPr>
        <w:t>en prenant en compte les dernières mesures de représentativité</w:t>
      </w:r>
      <w:r w:rsidR="00A74912" w:rsidRPr="00A74912">
        <w:rPr>
          <w:sz w:val="22"/>
          <w:szCs w:val="22"/>
        </w:rPr>
        <w:t xml:space="preserve"> </w:t>
      </w:r>
      <w:r>
        <w:rPr>
          <w:sz w:val="22"/>
          <w:szCs w:val="22"/>
        </w:rPr>
        <w:t>dans la branche</w:t>
      </w:r>
      <w:r w:rsidR="00BB2961">
        <w:rPr>
          <w:sz w:val="22"/>
          <w:szCs w:val="22"/>
        </w:rPr>
        <w:t xml:space="preserve">. Nous remercions </w:t>
      </w:r>
      <w:r>
        <w:rPr>
          <w:sz w:val="22"/>
          <w:szCs w:val="22"/>
        </w:rPr>
        <w:t>les partenaires sociaux pour l’implication collective qui a permis d</w:t>
      </w:r>
      <w:r w:rsidR="00BB2961">
        <w:rPr>
          <w:sz w:val="22"/>
          <w:szCs w:val="22"/>
        </w:rPr>
        <w:t xml:space="preserve">’apporter les précisions nécessaires quant à l’application </w:t>
      </w:r>
      <w:r w:rsidR="008C276D">
        <w:rPr>
          <w:sz w:val="22"/>
          <w:szCs w:val="22"/>
        </w:rPr>
        <w:t xml:space="preserve">des dispositions </w:t>
      </w:r>
      <w:r w:rsidR="00BB2961" w:rsidRPr="00BB2961">
        <w:rPr>
          <w:sz w:val="22"/>
          <w:szCs w:val="22"/>
        </w:rPr>
        <w:t>des articles 1254-1 et suivants du Code du travail et de la convention collective du Portage salarial (IDCC 3219)</w:t>
      </w:r>
      <w:r w:rsidR="00BB2961">
        <w:rPr>
          <w:sz w:val="22"/>
          <w:szCs w:val="22"/>
        </w:rPr>
        <w:t>.</w:t>
      </w:r>
    </w:p>
    <w:p w14:paraId="22929191" w14:textId="6BE73693" w:rsidR="006D3138" w:rsidRDefault="006D3138" w:rsidP="006D3138">
      <w:pPr>
        <w:jc w:val="both"/>
        <w:rPr>
          <w:sz w:val="22"/>
          <w:szCs w:val="22"/>
        </w:rPr>
      </w:pPr>
    </w:p>
    <w:p w14:paraId="02315375" w14:textId="3687325D" w:rsidR="006D3138" w:rsidRPr="006D3138" w:rsidRDefault="006D3138" w:rsidP="006D3138">
      <w:pPr>
        <w:jc w:val="both"/>
        <w:rPr>
          <w:sz w:val="22"/>
          <w:szCs w:val="22"/>
        </w:rPr>
      </w:pPr>
      <w:r w:rsidRPr="006D3138">
        <w:rPr>
          <w:sz w:val="22"/>
          <w:szCs w:val="22"/>
        </w:rPr>
        <w:t xml:space="preserve">C’est dans ce cadre juridique </w:t>
      </w:r>
      <w:r>
        <w:rPr>
          <w:sz w:val="22"/>
          <w:szCs w:val="22"/>
        </w:rPr>
        <w:t xml:space="preserve">désormais </w:t>
      </w:r>
      <w:r w:rsidR="00B655CD" w:rsidRPr="006D3138">
        <w:rPr>
          <w:sz w:val="22"/>
          <w:szCs w:val="22"/>
        </w:rPr>
        <w:t>extrêmement</w:t>
      </w:r>
      <w:r w:rsidRPr="006D3138">
        <w:rPr>
          <w:sz w:val="22"/>
          <w:szCs w:val="22"/>
        </w:rPr>
        <w:t xml:space="preserve"> clair et </w:t>
      </w:r>
      <w:r w:rsidR="00B655CD" w:rsidRPr="006D3138">
        <w:rPr>
          <w:sz w:val="22"/>
          <w:szCs w:val="22"/>
        </w:rPr>
        <w:t>précis</w:t>
      </w:r>
      <w:r w:rsidRPr="006D3138">
        <w:rPr>
          <w:sz w:val="22"/>
          <w:szCs w:val="22"/>
        </w:rPr>
        <w:t xml:space="preserve"> que </w:t>
      </w:r>
      <w:r w:rsidR="00BB2961">
        <w:rPr>
          <w:sz w:val="22"/>
          <w:szCs w:val="22"/>
        </w:rPr>
        <w:t xml:space="preserve">les entreprises de portage salarial </w:t>
      </w:r>
      <w:r w:rsidRPr="006D3138">
        <w:rPr>
          <w:sz w:val="22"/>
          <w:szCs w:val="22"/>
        </w:rPr>
        <w:t>garantiss</w:t>
      </w:r>
      <w:r w:rsidR="00E60143">
        <w:rPr>
          <w:sz w:val="22"/>
          <w:szCs w:val="22"/>
        </w:rPr>
        <w:t>ent</w:t>
      </w:r>
      <w:r w:rsidRPr="006D3138">
        <w:rPr>
          <w:sz w:val="22"/>
          <w:szCs w:val="22"/>
        </w:rPr>
        <w:t xml:space="preserve"> les droits des </w:t>
      </w:r>
      <w:r w:rsidR="00B655CD" w:rsidRPr="006D3138">
        <w:rPr>
          <w:sz w:val="22"/>
          <w:szCs w:val="22"/>
        </w:rPr>
        <w:t>salariés</w:t>
      </w:r>
      <w:r w:rsidRPr="006D3138">
        <w:rPr>
          <w:sz w:val="22"/>
          <w:szCs w:val="22"/>
        </w:rPr>
        <w:t xml:space="preserve"> </w:t>
      </w:r>
      <w:r w:rsidR="00B655CD" w:rsidRPr="006D3138">
        <w:rPr>
          <w:sz w:val="22"/>
          <w:szCs w:val="22"/>
        </w:rPr>
        <w:t>portés</w:t>
      </w:r>
      <w:r w:rsidRPr="006D3138">
        <w:rPr>
          <w:sz w:val="22"/>
          <w:szCs w:val="22"/>
        </w:rPr>
        <w:t xml:space="preserve"> en </w:t>
      </w:r>
      <w:r w:rsidR="00B655CD" w:rsidRPr="006D3138">
        <w:rPr>
          <w:sz w:val="22"/>
          <w:szCs w:val="22"/>
        </w:rPr>
        <w:t>matière</w:t>
      </w:r>
      <w:r w:rsidRPr="006D3138">
        <w:rPr>
          <w:sz w:val="22"/>
          <w:szCs w:val="22"/>
        </w:rPr>
        <w:t xml:space="preserve"> de </w:t>
      </w:r>
      <w:r w:rsidR="00E60143">
        <w:rPr>
          <w:sz w:val="22"/>
          <w:szCs w:val="22"/>
        </w:rPr>
        <w:t>prélèvements qui sont à leur charge.</w:t>
      </w:r>
    </w:p>
    <w:p w14:paraId="20258982" w14:textId="77777777" w:rsidR="006D3138" w:rsidRPr="006D3138" w:rsidRDefault="006D3138" w:rsidP="006D3138">
      <w:pPr>
        <w:jc w:val="both"/>
        <w:rPr>
          <w:sz w:val="22"/>
          <w:szCs w:val="22"/>
        </w:rPr>
      </w:pPr>
    </w:p>
    <w:p w14:paraId="0571029F" w14:textId="77777777" w:rsidR="00FC732D" w:rsidRDefault="00FC732D" w:rsidP="00CA37C2">
      <w:pPr>
        <w:jc w:val="both"/>
        <w:rPr>
          <w:rFonts w:cstheme="minorHAnsi"/>
          <w:b/>
          <w:color w:val="000000" w:themeColor="text1"/>
          <w:sz w:val="22"/>
          <w:szCs w:val="22"/>
        </w:rPr>
      </w:pPr>
    </w:p>
    <w:p w14:paraId="6DEEE2D3" w14:textId="302B3A86" w:rsidR="00CA37C2" w:rsidRPr="00FC732D" w:rsidRDefault="00CA37C2" w:rsidP="00CA37C2">
      <w:pPr>
        <w:jc w:val="both"/>
        <w:rPr>
          <w:rFonts w:cstheme="minorHAnsi"/>
          <w:b/>
          <w:color w:val="000000" w:themeColor="text1"/>
          <w:sz w:val="22"/>
          <w:szCs w:val="22"/>
        </w:rPr>
      </w:pPr>
      <w:r w:rsidRPr="00FC732D">
        <w:rPr>
          <w:rFonts w:cstheme="minorHAnsi"/>
          <w:b/>
          <w:color w:val="000000" w:themeColor="text1"/>
          <w:sz w:val="22"/>
          <w:szCs w:val="22"/>
        </w:rPr>
        <w:t xml:space="preserve">CONTACTS PRESSE </w:t>
      </w:r>
    </w:p>
    <w:p w14:paraId="65127D5F" w14:textId="10A8DB16" w:rsidR="00CA37C2" w:rsidRPr="00FC732D" w:rsidRDefault="005C193C" w:rsidP="00076D71">
      <w:pPr>
        <w:jc w:val="both"/>
        <w:rPr>
          <w:sz w:val="22"/>
          <w:szCs w:val="22"/>
        </w:rPr>
      </w:pPr>
      <w:hyperlink r:id="rId8" w:history="1">
        <w:r w:rsidR="00680604" w:rsidRPr="00FC732D">
          <w:rPr>
            <w:rStyle w:val="Lienhypertexte"/>
            <w:sz w:val="22"/>
            <w:szCs w:val="22"/>
          </w:rPr>
          <w:t>presse@peps-syndicat.fr</w:t>
        </w:r>
      </w:hyperlink>
    </w:p>
    <w:p w14:paraId="19B5119E" w14:textId="77777777" w:rsidR="00680604" w:rsidRPr="009E555F" w:rsidRDefault="00680604" w:rsidP="00076D71">
      <w:pPr>
        <w:jc w:val="both"/>
        <w:rPr>
          <w:rFonts w:eastAsia="Times New Roman" w:cstheme="minorHAnsi"/>
          <w:color w:val="000000"/>
          <w:sz w:val="21"/>
          <w:szCs w:val="18"/>
          <w:shd w:val="clear" w:color="auto" w:fill="FFFFFF"/>
          <w:lang w:eastAsia="fr-FR"/>
        </w:rPr>
      </w:pPr>
    </w:p>
    <w:sectPr w:rsidR="00680604" w:rsidRPr="009E555F" w:rsidSect="009D77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A2BB2" w14:textId="77777777" w:rsidR="005C193C" w:rsidRDefault="005C193C" w:rsidP="00B20738">
      <w:r>
        <w:separator/>
      </w:r>
    </w:p>
  </w:endnote>
  <w:endnote w:type="continuationSeparator" w:id="0">
    <w:p w14:paraId="5A8DC406" w14:textId="77777777" w:rsidR="005C193C" w:rsidRDefault="005C193C" w:rsidP="00B2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8EB19" w14:textId="77777777" w:rsidR="006C3D4A" w:rsidRDefault="006C3D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C0A06" w14:textId="20B43F64" w:rsidR="00813155" w:rsidRDefault="00680604" w:rsidP="00F41C29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Hélène Fraysse, déléguée générale du PEPS</w:t>
    </w:r>
  </w:p>
  <w:p w14:paraId="3DF0986D" w14:textId="4BA2FBD4" w:rsidR="00680604" w:rsidRPr="00F41C29" w:rsidRDefault="00680604" w:rsidP="00F41C29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 xml:space="preserve">Le </w:t>
    </w:r>
    <w:r w:rsidR="006C3D4A">
      <w:rPr>
        <w:sz w:val="20"/>
        <w:szCs w:val="20"/>
      </w:rPr>
      <w:t>jeudi 1</w:t>
    </w:r>
    <w:r w:rsidR="006C3D4A" w:rsidRPr="006C3D4A">
      <w:rPr>
        <w:sz w:val="20"/>
        <w:szCs w:val="20"/>
        <w:vertAlign w:val="superscript"/>
      </w:rPr>
      <w:t>er</w:t>
    </w:r>
    <w:r w:rsidR="006C3D4A">
      <w:rPr>
        <w:sz w:val="20"/>
        <w:szCs w:val="20"/>
      </w:rPr>
      <w:t xml:space="preserve"> juillet </w:t>
    </w:r>
    <w:r>
      <w:rPr>
        <w:sz w:val="20"/>
        <w:szCs w:val="20"/>
      </w:rPr>
      <w:t>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C780A" w14:textId="77777777" w:rsidR="006C3D4A" w:rsidRDefault="006C3D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9D18D" w14:textId="77777777" w:rsidR="005C193C" w:rsidRDefault="005C193C" w:rsidP="00B20738">
      <w:r>
        <w:separator/>
      </w:r>
    </w:p>
  </w:footnote>
  <w:footnote w:type="continuationSeparator" w:id="0">
    <w:p w14:paraId="7C58BA91" w14:textId="77777777" w:rsidR="005C193C" w:rsidRDefault="005C193C" w:rsidP="00B20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F11B1" w14:textId="77777777" w:rsidR="006C3D4A" w:rsidRDefault="006C3D4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0670D" w14:textId="77777777" w:rsidR="00886B5D" w:rsidRDefault="004A34A6">
    <w:pPr>
      <w:pStyle w:val="En-tte"/>
    </w:pPr>
    <w:r>
      <w:rPr>
        <w:noProof/>
        <w:lang w:eastAsia="fr-FR"/>
      </w:rPr>
      <w:drawing>
        <wp:inline distT="0" distB="0" distL="0" distR="0" wp14:anchorId="50402715" wp14:editId="4828388E">
          <wp:extent cx="1595015" cy="637286"/>
          <wp:effectExtent l="0" t="0" r="571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P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015" cy="637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9649A" w14:textId="77777777" w:rsidR="006C3D4A" w:rsidRDefault="006C3D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028EB"/>
    <w:multiLevelType w:val="multilevel"/>
    <w:tmpl w:val="0D24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21B2C"/>
    <w:multiLevelType w:val="multilevel"/>
    <w:tmpl w:val="47F4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0A170A"/>
    <w:multiLevelType w:val="hybridMultilevel"/>
    <w:tmpl w:val="1DDAAF60"/>
    <w:lvl w:ilvl="0" w:tplc="A7A848F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A7"/>
    <w:rsid w:val="00076D71"/>
    <w:rsid w:val="000879B0"/>
    <w:rsid w:val="000D0FE8"/>
    <w:rsid w:val="000D5399"/>
    <w:rsid w:val="0012243E"/>
    <w:rsid w:val="00177D1C"/>
    <w:rsid w:val="001A2AD2"/>
    <w:rsid w:val="001B4583"/>
    <w:rsid w:val="002235AB"/>
    <w:rsid w:val="00231782"/>
    <w:rsid w:val="00272BF5"/>
    <w:rsid w:val="00285825"/>
    <w:rsid w:val="00295554"/>
    <w:rsid w:val="002D538E"/>
    <w:rsid w:val="003068AF"/>
    <w:rsid w:val="00312B49"/>
    <w:rsid w:val="0038789C"/>
    <w:rsid w:val="00390D58"/>
    <w:rsid w:val="003A257D"/>
    <w:rsid w:val="00402524"/>
    <w:rsid w:val="004132A5"/>
    <w:rsid w:val="004214E4"/>
    <w:rsid w:val="004A34A6"/>
    <w:rsid w:val="00512434"/>
    <w:rsid w:val="00574B8F"/>
    <w:rsid w:val="005C193C"/>
    <w:rsid w:val="006024A7"/>
    <w:rsid w:val="00611B48"/>
    <w:rsid w:val="006200D3"/>
    <w:rsid w:val="00635ED9"/>
    <w:rsid w:val="00680604"/>
    <w:rsid w:val="006827FE"/>
    <w:rsid w:val="006C3D4A"/>
    <w:rsid w:val="006C4EAC"/>
    <w:rsid w:val="006D3138"/>
    <w:rsid w:val="006D4F09"/>
    <w:rsid w:val="007279EE"/>
    <w:rsid w:val="0076294E"/>
    <w:rsid w:val="00774DAB"/>
    <w:rsid w:val="00784192"/>
    <w:rsid w:val="007F2222"/>
    <w:rsid w:val="008069CA"/>
    <w:rsid w:val="008248F6"/>
    <w:rsid w:val="00824E04"/>
    <w:rsid w:val="008C276D"/>
    <w:rsid w:val="008F1D54"/>
    <w:rsid w:val="008F27BD"/>
    <w:rsid w:val="0092759A"/>
    <w:rsid w:val="00954BDB"/>
    <w:rsid w:val="009B6A3B"/>
    <w:rsid w:val="009D1EC3"/>
    <w:rsid w:val="009D7711"/>
    <w:rsid w:val="009E0369"/>
    <w:rsid w:val="009E555F"/>
    <w:rsid w:val="00A0168D"/>
    <w:rsid w:val="00A02EBD"/>
    <w:rsid w:val="00A040F2"/>
    <w:rsid w:val="00A74912"/>
    <w:rsid w:val="00A97D08"/>
    <w:rsid w:val="00AB2B01"/>
    <w:rsid w:val="00AD02D5"/>
    <w:rsid w:val="00AE6AFB"/>
    <w:rsid w:val="00B20738"/>
    <w:rsid w:val="00B655CD"/>
    <w:rsid w:val="00BB2961"/>
    <w:rsid w:val="00C33760"/>
    <w:rsid w:val="00C97B3F"/>
    <w:rsid w:val="00CA37C2"/>
    <w:rsid w:val="00CB3013"/>
    <w:rsid w:val="00D32DA6"/>
    <w:rsid w:val="00D43821"/>
    <w:rsid w:val="00D7102D"/>
    <w:rsid w:val="00D738A1"/>
    <w:rsid w:val="00D76C97"/>
    <w:rsid w:val="00D869BE"/>
    <w:rsid w:val="00D91CC3"/>
    <w:rsid w:val="00D96312"/>
    <w:rsid w:val="00DC058A"/>
    <w:rsid w:val="00E01F6B"/>
    <w:rsid w:val="00E11AE1"/>
    <w:rsid w:val="00E523D4"/>
    <w:rsid w:val="00E60143"/>
    <w:rsid w:val="00E60AE1"/>
    <w:rsid w:val="00E76906"/>
    <w:rsid w:val="00E94849"/>
    <w:rsid w:val="00EB07FC"/>
    <w:rsid w:val="00EB4AC0"/>
    <w:rsid w:val="00F32CEB"/>
    <w:rsid w:val="00F76129"/>
    <w:rsid w:val="00FB7319"/>
    <w:rsid w:val="00FC732D"/>
    <w:rsid w:val="00F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6408A"/>
  <w15:docId w15:val="{BCA34801-7C05-F14A-9695-1E3291B5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4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24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24A7"/>
  </w:style>
  <w:style w:type="paragraph" w:styleId="Pieddepage">
    <w:name w:val="footer"/>
    <w:basedOn w:val="Normal"/>
    <w:link w:val="PieddepageCar"/>
    <w:uiPriority w:val="99"/>
    <w:unhideWhenUsed/>
    <w:rsid w:val="006024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24A7"/>
  </w:style>
  <w:style w:type="character" w:styleId="Lienhypertexte">
    <w:name w:val="Hyperlink"/>
    <w:basedOn w:val="Policepardfaut"/>
    <w:uiPriority w:val="99"/>
    <w:unhideWhenUsed/>
    <w:rsid w:val="006024A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132A5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4132A5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132A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B0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B01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827F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74DA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E94849"/>
  </w:style>
  <w:style w:type="paragraph" w:styleId="Titre">
    <w:name w:val="Title"/>
    <w:basedOn w:val="Normal"/>
    <w:next w:val="Normal"/>
    <w:link w:val="TitreCar"/>
    <w:uiPriority w:val="10"/>
    <w:qFormat/>
    <w:rsid w:val="004214E4"/>
    <w:pPr>
      <w:widowControl w:val="0"/>
      <w:autoSpaceDE w:val="0"/>
      <w:autoSpaceDN w:val="0"/>
      <w:adjustRightInd w:val="0"/>
      <w:spacing w:before="400" w:after="400"/>
      <w:jc w:val="center"/>
    </w:pPr>
    <w:rPr>
      <w:rFonts w:ascii="Century Gothic" w:eastAsiaTheme="minorEastAsia" w:hAnsi="Century Gothic" w:cs="Arial"/>
      <w:b/>
      <w:sz w:val="40"/>
      <w:szCs w:val="40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4214E4"/>
    <w:rPr>
      <w:rFonts w:ascii="Century Gothic" w:eastAsiaTheme="minorEastAsia" w:hAnsi="Century Gothic" w:cs="Arial"/>
      <w:b/>
      <w:sz w:val="40"/>
      <w:szCs w:val="4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peps-syndicat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download/pdf?id=2sTx_zmt3jVRy704stj_v2xoCtqh9SJ32VBSCt4dzzI=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helene.fraysse@peps-syndicat.fr</dc:creator>
  <cp:keywords/>
  <dc:description/>
  <cp:lastModifiedBy>helene.fraysse@peps-syndicat.fr</cp:lastModifiedBy>
  <cp:revision>2</cp:revision>
  <dcterms:created xsi:type="dcterms:W3CDTF">2021-07-01T16:47:00Z</dcterms:created>
  <dcterms:modified xsi:type="dcterms:W3CDTF">2021-07-01T16:47:00Z</dcterms:modified>
</cp:coreProperties>
</file>